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</w:t>
      </w:r>
      <w:r w:rsidR="006660A4">
        <w:t>ravu osob, materiálu a zařízení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FF0B52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734F37">
              <w:rPr>
                <w:rFonts w:cs="Arial"/>
                <w:sz w:val="20"/>
                <w:szCs w:val="20"/>
              </w:rPr>
              <w:t>2</w:t>
            </w:r>
            <w:r w:rsidR="00FF0B52">
              <w:rPr>
                <w:rFonts w:cs="Arial"/>
                <w:sz w:val="20"/>
                <w:szCs w:val="20"/>
              </w:rPr>
              <w:t>4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</w:t>
            </w:r>
            <w:r w:rsidR="003819CF">
              <w:rPr>
                <w:rFonts w:cs="Arial"/>
                <w:sz w:val="20"/>
                <w:szCs w:val="20"/>
              </w:rPr>
              <w:t>110</w:t>
            </w:r>
            <w:r w:rsidRPr="00604BE6">
              <w:rPr>
                <w:rFonts w:cs="Arial"/>
                <w:sz w:val="20"/>
                <w:szCs w:val="20"/>
              </w:rPr>
              <w:t xml:space="preserve">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</w:t>
            </w:r>
            <w:r w:rsidR="003819CF">
              <w:rPr>
                <w:rFonts w:cs="Arial"/>
                <w:sz w:val="20"/>
                <w:szCs w:val="20"/>
              </w:rPr>
              <w:t>6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3819CF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250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8</w:t>
            </w:r>
            <w:r w:rsidR="003819CF">
              <w:rPr>
                <w:rFonts w:cs="Arial"/>
                <w:sz w:val="20"/>
                <w:szCs w:val="20"/>
              </w:rPr>
              <w:t>41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Výška vozidla </w:t>
            </w:r>
            <w:r w:rsidR="00020C36">
              <w:rPr>
                <w:rFonts w:cs="Arial"/>
                <w:sz w:val="20"/>
                <w:szCs w:val="20"/>
              </w:rPr>
              <w:t xml:space="preserve">se střešním nosičem </w:t>
            </w:r>
            <w:r w:rsidRPr="00604BE6">
              <w:rPr>
                <w:rFonts w:cs="Arial"/>
                <w:sz w:val="20"/>
                <w:szCs w:val="20"/>
              </w:rPr>
              <w:t>bez výstražného světelného zařízení min. 1</w:t>
            </w:r>
            <w:r w:rsidR="00020C36">
              <w:rPr>
                <w:rFonts w:cs="Arial"/>
                <w:sz w:val="20"/>
                <w:szCs w:val="20"/>
              </w:rPr>
              <w:t xml:space="preserve"> 603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020C36">
              <w:rPr>
                <w:rFonts w:cs="Arial"/>
                <w:sz w:val="20"/>
                <w:szCs w:val="20"/>
              </w:rPr>
              <w:t xml:space="preserve"> 381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Pr="00604BE6">
              <w:rPr>
                <w:rFonts w:cs="Arial"/>
                <w:sz w:val="20"/>
                <w:szCs w:val="20"/>
              </w:rPr>
              <w:t>6</w:t>
            </w:r>
            <w:r w:rsidR="00020C36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</w:t>
            </w:r>
            <w:r w:rsidR="003819CF">
              <w:rPr>
                <w:rFonts w:cs="Arial"/>
                <w:sz w:val="20"/>
                <w:szCs w:val="20"/>
              </w:rPr>
              <w:t>, typ vozidla SUV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2E31D9">
              <w:rPr>
                <w:rFonts w:cs="Arial"/>
                <w:sz w:val="20"/>
                <w:szCs w:val="20"/>
              </w:rPr>
              <w:t>unkce volby jízdního režimu.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Maximální rychlost vozidla min. </w:t>
            </w:r>
            <w:r w:rsidR="00020C36">
              <w:rPr>
                <w:rFonts w:cs="Arial"/>
                <w:sz w:val="20"/>
                <w:szCs w:val="20"/>
              </w:rPr>
              <w:t>197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604BE6" w:rsidRDefault="00C64ABC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Centrální zamykání s dálkovým ovládáním</w:t>
            </w:r>
            <w:r w:rsidR="00AC6E7F">
              <w:rPr>
                <w:rFonts w:cs="Arial"/>
                <w:sz w:val="20"/>
                <w:szCs w:val="20"/>
              </w:rPr>
              <w:t xml:space="preserve"> umožňující </w:t>
            </w:r>
            <w:r w:rsidR="00A46835">
              <w:rPr>
                <w:rFonts w:cs="Arial"/>
                <w:sz w:val="20"/>
                <w:szCs w:val="20"/>
              </w:rPr>
              <w:t>odemknutí a zamknutí bez použi</w:t>
            </w:r>
            <w:r w:rsidR="00AC6E7F">
              <w:rPr>
                <w:rFonts w:cs="Arial"/>
                <w:sz w:val="20"/>
                <w:szCs w:val="20"/>
              </w:rPr>
              <w:t>tí tlačítka klíče</w:t>
            </w:r>
            <w:r w:rsidRPr="00604BE6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C6E7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AC6E7F" w:rsidRPr="00604BE6" w:rsidTr="00604BE6">
        <w:tc>
          <w:tcPr>
            <w:tcW w:w="7088" w:type="dxa"/>
          </w:tcPr>
          <w:p w:rsidR="00AC6E7F" w:rsidRPr="00604BE6" w:rsidRDefault="00AC6E7F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Přední mlhové světlomety.</w:t>
            </w:r>
          </w:p>
        </w:tc>
        <w:tc>
          <w:tcPr>
            <w:tcW w:w="3226" w:type="dxa"/>
            <w:shd w:val="clear" w:color="auto" w:fill="FFFFCC"/>
          </w:tcPr>
          <w:p w:rsidR="00AC6E7F" w:rsidRPr="00604BE6" w:rsidRDefault="00AC6E7F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04BE6" w:rsidRPr="00604BE6">
              <w:rPr>
                <w:rFonts w:cs="Arial"/>
                <w:sz w:val="20"/>
                <w:szCs w:val="20"/>
              </w:rPr>
              <w:t>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EA7B6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Č</w:t>
            </w:r>
            <w:r w:rsidR="00604BE6" w:rsidRPr="00065773">
              <w:rPr>
                <w:rFonts w:cs="Arial"/>
                <w:sz w:val="20"/>
                <w:szCs w:val="20"/>
              </w:rPr>
              <w:t>tecí lampička vpředu</w:t>
            </w:r>
            <w:r w:rsidR="002E31D9" w:rsidRPr="00065773">
              <w:rPr>
                <w:rFonts w:cs="Arial"/>
                <w:sz w:val="20"/>
                <w:szCs w:val="20"/>
              </w:rPr>
              <w:t>, osvětlení zavazadlového prostoru</w:t>
            </w:r>
            <w:r w:rsidR="00604BE6"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EA7B61" w:rsidRPr="00604BE6" w:rsidTr="00604BE6">
        <w:tc>
          <w:tcPr>
            <w:tcW w:w="7088" w:type="dxa"/>
          </w:tcPr>
          <w:p w:rsidR="00EA7B61" w:rsidRPr="00604BE6" w:rsidRDefault="00EA7B61" w:rsidP="00EA7B6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6" w:type="dxa"/>
            <w:shd w:val="clear" w:color="auto" w:fill="FFFFCC"/>
          </w:tcPr>
          <w:p w:rsidR="00EA7B61" w:rsidRPr="00604BE6" w:rsidRDefault="00EA7B61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4021D6">
              <w:rPr>
                <w:rFonts w:cs="Arial"/>
                <w:sz w:val="20"/>
                <w:szCs w:val="20"/>
              </w:rPr>
              <w:t xml:space="preserve"> s min. </w:t>
            </w:r>
            <w:r w:rsidR="00C26B43">
              <w:rPr>
                <w:rFonts w:cs="Arial"/>
                <w:sz w:val="20"/>
                <w:szCs w:val="20"/>
              </w:rPr>
              <w:t>8</w:t>
            </w:r>
            <w:r w:rsidR="00604BE6" w:rsidRPr="00604BE6">
              <w:rPr>
                <w:rFonts w:cs="Arial"/>
                <w:sz w:val="20"/>
                <w:szCs w:val="20"/>
              </w:rPr>
              <w:t>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021D6">
              <w:rPr>
                <w:rFonts w:cs="Arial"/>
                <w:sz w:val="20"/>
                <w:szCs w:val="20"/>
              </w:rPr>
              <w:t xml:space="preserve">a navigací dodávané </w:t>
            </w:r>
            <w:r w:rsidR="00604BE6" w:rsidRPr="00604BE6">
              <w:rPr>
                <w:rFonts w:cs="Arial"/>
                <w:sz w:val="20"/>
                <w:szCs w:val="20"/>
              </w:rPr>
              <w:t>výrobce</w:t>
            </w:r>
            <w:r w:rsidR="004021D6">
              <w:rPr>
                <w:rFonts w:cs="Arial"/>
                <w:sz w:val="20"/>
                <w:szCs w:val="20"/>
              </w:rPr>
              <w:t>m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</w:t>
            </w:r>
            <w:r w:rsidR="004021D6">
              <w:rPr>
                <w:rFonts w:cs="Arial"/>
                <w:sz w:val="20"/>
                <w:szCs w:val="20"/>
              </w:rPr>
              <w:t xml:space="preserve">. </w:t>
            </w:r>
            <w:r w:rsidR="004021D6" w:rsidRPr="004021D6">
              <w:rPr>
                <w:rFonts w:cs="Arial"/>
                <w:sz w:val="20"/>
                <w:szCs w:val="20"/>
              </w:rPr>
              <w:t xml:space="preserve">Komunikace </w:t>
            </w:r>
            <w:proofErr w:type="spellStart"/>
            <w:r w:rsidR="004021D6" w:rsidRPr="004021D6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4021D6" w:rsidRPr="004021D6">
              <w:rPr>
                <w:rFonts w:cs="Arial"/>
                <w:sz w:val="20"/>
                <w:szCs w:val="20"/>
              </w:rPr>
              <w:t xml:space="preserve"> v českém jazyce</w:t>
            </w:r>
            <w:r w:rsidR="000F77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80AB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Vstup USB</w:t>
            </w:r>
            <w:r w:rsidRPr="00604BE6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4021D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Zásuvka 12V 1x v</w:t>
            </w:r>
            <w:r w:rsidR="004021D6" w:rsidRPr="00065773">
              <w:rPr>
                <w:rFonts w:cs="Arial"/>
                <w:sz w:val="20"/>
                <w:szCs w:val="20"/>
              </w:rPr>
              <w:t>ředu</w:t>
            </w:r>
            <w:r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144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914438">
              <w:rPr>
                <w:rFonts w:cs="Arial"/>
                <w:sz w:val="20"/>
                <w:szCs w:val="20"/>
              </w:rPr>
              <w:t>485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14438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14438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914438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914438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</w:t>
            </w:r>
            <w:r w:rsidR="00914438">
              <w:rPr>
                <w:rFonts w:cs="Arial"/>
                <w:sz w:val="20"/>
                <w:szCs w:val="20"/>
              </w:rPr>
              <w:t>, vyhřívání předních sedadel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Signalizace vzdálenosti při parkování </w:t>
            </w:r>
            <w:r w:rsidR="00C26B43">
              <w:rPr>
                <w:rFonts w:cs="Arial"/>
                <w:sz w:val="20"/>
                <w:szCs w:val="20"/>
              </w:rPr>
              <w:t xml:space="preserve">vpředu a </w:t>
            </w:r>
            <w:r w:rsidRPr="00604BE6">
              <w:rPr>
                <w:rFonts w:cs="Arial"/>
                <w:sz w:val="20"/>
                <w:szCs w:val="20"/>
              </w:rPr>
              <w:t>vzadu</w:t>
            </w:r>
            <w:r w:rsidR="00914438">
              <w:rPr>
                <w:rFonts w:cs="Arial"/>
                <w:sz w:val="20"/>
                <w:szCs w:val="20"/>
              </w:rPr>
              <w:t xml:space="preserve">, </w:t>
            </w:r>
            <w:r w:rsidR="00914438" w:rsidRPr="00914438">
              <w:rPr>
                <w:rFonts w:cs="Arial"/>
                <w:sz w:val="20"/>
                <w:szCs w:val="20"/>
              </w:rPr>
              <w:t xml:space="preserve">zadní parkovací kamera se zobrazením na obrazovce </w:t>
            </w:r>
            <w:proofErr w:type="spellStart"/>
            <w:r w:rsidR="00914438" w:rsidRPr="00914438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914438" w:rsidRPr="00914438">
              <w:rPr>
                <w:rFonts w:cs="Arial"/>
                <w:sz w:val="20"/>
                <w:szCs w:val="20"/>
              </w:rPr>
              <w:t xml:space="preserve"> s autorádiem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E31D9" w:rsidRPr="00604BE6" w:rsidTr="00604BE6">
        <w:tc>
          <w:tcPr>
            <w:tcW w:w="7088" w:type="dxa"/>
          </w:tcPr>
          <w:p w:rsidR="002E31D9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E31D9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6" w:type="dxa"/>
            <w:shd w:val="clear" w:color="auto" w:fill="FFFFCC"/>
          </w:tcPr>
          <w:p w:rsidR="002E31D9" w:rsidRPr="00604BE6" w:rsidRDefault="002E31D9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2E31D9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C64ABC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397C81">
              <w:rPr>
                <w:rFonts w:cs="Arial"/>
                <w:sz w:val="20"/>
                <w:szCs w:val="20"/>
              </w:rPr>
              <w:t>Otevírání a zavírání pátých dveří elektrické, možnost otevření dveří pohybem nohy pod zadním nárazníkem vozidla.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397C81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Nezávislé přídavné topení </w:t>
            </w:r>
            <w:r w:rsidR="00980AB6">
              <w:rPr>
                <w:rFonts w:cs="Arial"/>
                <w:sz w:val="20"/>
                <w:szCs w:val="20"/>
              </w:rPr>
              <w:t xml:space="preserve">naftové </w:t>
            </w:r>
            <w:r>
              <w:rPr>
                <w:rFonts w:cs="Arial"/>
                <w:sz w:val="20"/>
                <w:szCs w:val="20"/>
              </w:rPr>
              <w:t>s dálkovým ovládáním.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C64ABC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 xml:space="preserve">Možnost zapojení bržděného přívěsu o hmotnosti min. 2 </w:t>
            </w:r>
            <w:r>
              <w:rPr>
                <w:rFonts w:cs="Arial"/>
                <w:sz w:val="20"/>
                <w:szCs w:val="20"/>
              </w:rPr>
              <w:t>1</w:t>
            </w:r>
            <w:r w:rsidRPr="00C64ABC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Kola z lehkých slitin min. 1</w:t>
            </w:r>
            <w:r w:rsidR="00065773" w:rsidRPr="00065773">
              <w:rPr>
                <w:rFonts w:cs="Arial"/>
                <w:sz w:val="20"/>
                <w:szCs w:val="20"/>
              </w:rPr>
              <w:t>8</w:t>
            </w:r>
            <w:r w:rsidRPr="00065773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A3200" w:rsidRPr="00604BE6" w:rsidTr="00604BE6">
        <w:tc>
          <w:tcPr>
            <w:tcW w:w="7088" w:type="dxa"/>
          </w:tcPr>
          <w:p w:rsidR="00CA3200" w:rsidRPr="00065773" w:rsidRDefault="00CA3200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A3200">
              <w:rPr>
                <w:rFonts w:cs="Arial"/>
                <w:sz w:val="20"/>
                <w:szCs w:val="20"/>
              </w:rPr>
              <w:t>Sada 4 ks zimních kol z lehkých slitin schváleného typu min. 17“, kola a pneumatiky odpovídající zatížení jednotlivých náprav po instalaci zástavby.</w:t>
            </w:r>
          </w:p>
        </w:tc>
        <w:tc>
          <w:tcPr>
            <w:tcW w:w="3226" w:type="dxa"/>
            <w:shd w:val="clear" w:color="auto" w:fill="FFFFCC"/>
          </w:tcPr>
          <w:p w:rsidR="00CA3200" w:rsidRPr="00604BE6" w:rsidRDefault="00CA3200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065773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E151C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Zástavba vozidla v souladu s platnou legislativou včetně </w:t>
            </w:r>
            <w:r w:rsidR="00DA6568" w:rsidRPr="00DA6568">
              <w:rPr>
                <w:rFonts w:cs="Arial"/>
                <w:sz w:val="20"/>
                <w:szCs w:val="20"/>
              </w:rPr>
              <w:t>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Systém umožňující ponechat vozidlo s nastartovaným motorem, uzamčené a se zataženou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57AF5" w:rsidRPr="00604BE6" w:rsidTr="00604BE6">
        <w:tc>
          <w:tcPr>
            <w:tcW w:w="7088" w:type="dxa"/>
          </w:tcPr>
          <w:p w:rsidR="00C57AF5" w:rsidRPr="00604BE6" w:rsidRDefault="00C57AF5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C57AF5">
              <w:rPr>
                <w:rFonts w:cs="Arial"/>
                <w:sz w:val="20"/>
                <w:szCs w:val="20"/>
              </w:rPr>
              <w:t xml:space="preserve">1 ks pravoúhlá LED přenosná svítilna s certifikací ATEX do zóny 0, </w:t>
            </w:r>
            <w:proofErr w:type="spellStart"/>
            <w:r w:rsidRPr="00C57AF5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C57AF5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C57AF5" w:rsidRPr="00604BE6" w:rsidRDefault="00C57AF5" w:rsidP="00604BE6">
            <w:pPr>
              <w:rPr>
                <w:sz w:val="20"/>
                <w:szCs w:val="20"/>
              </w:rPr>
            </w:pPr>
          </w:p>
        </w:tc>
      </w:tr>
      <w:tr w:rsidR="00C57AF5" w:rsidRPr="00604BE6" w:rsidTr="00604BE6">
        <w:tc>
          <w:tcPr>
            <w:tcW w:w="7088" w:type="dxa"/>
          </w:tcPr>
          <w:p w:rsidR="00C57AF5" w:rsidRPr="00C57AF5" w:rsidRDefault="0036779B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 w:rsidRPr="0036779B">
              <w:rPr>
                <w:rFonts w:cs="Arial"/>
                <w:sz w:val="20"/>
                <w:szCs w:val="20"/>
              </w:rPr>
              <w:t xml:space="preserve">ks držák </w:t>
            </w:r>
            <w:r w:rsidRPr="0036779B">
              <w:rPr>
                <w:rFonts w:cs="Arial"/>
                <w:bCs/>
                <w:sz w:val="20"/>
                <w:szCs w:val="20"/>
              </w:rPr>
              <w:t>dopravního kuželu se světlem DKL-75 LED</w:t>
            </w:r>
            <w:r w:rsidRPr="0036779B">
              <w:rPr>
                <w:rFonts w:cs="Arial"/>
                <w:sz w:val="20"/>
                <w:szCs w:val="20"/>
              </w:rPr>
              <w:t>. Držák musí zamezit volnému pohybu kuželu po zavazadlovém prostoru. Kužel dodá zadavatel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C57AF5" w:rsidRPr="00604BE6" w:rsidRDefault="00C57AF5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Default="0036779B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 w:rsidRPr="0036779B">
              <w:rPr>
                <w:rFonts w:cs="Arial"/>
                <w:sz w:val="20"/>
                <w:szCs w:val="20"/>
              </w:rPr>
              <w:t>ks držák krabice s jednorázovými rukavicemi v zavazadlovém prostoru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Default="0036779B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 w:rsidRPr="0036779B">
              <w:rPr>
                <w:rFonts w:cs="Arial"/>
                <w:sz w:val="20"/>
                <w:szCs w:val="20"/>
              </w:rPr>
              <w:t>ks držák ochranné přilby. Držák musí zajistit bezpečné uchycení přilby. Přilba nesmí být uchycena popruhem volně z důvodu hluku při jejím pohybu za jízdy. Držák musí být rychloupínací pro možnost okamžitého použití přilby. Typ přilby a umístění držáku upřesní zadavatel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Default="003C603D" w:rsidP="003C603D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3C603D">
              <w:rPr>
                <w:rFonts w:cs="Arial"/>
                <w:sz w:val="20"/>
                <w:szCs w:val="20"/>
              </w:rPr>
              <w:t>1 ks adaptéru ruční radiostanice Matra v prostoru přístrojové desky včetně napájení. Přesné umístění určí zadavatel.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3C603D" w:rsidRPr="00604BE6" w:rsidTr="00604BE6">
        <w:tc>
          <w:tcPr>
            <w:tcW w:w="7088" w:type="dxa"/>
          </w:tcPr>
          <w:p w:rsidR="003C603D" w:rsidRPr="003C603D" w:rsidRDefault="003C603D" w:rsidP="003C603D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3C603D">
              <w:rPr>
                <w:rFonts w:cs="Arial"/>
                <w:sz w:val="20"/>
                <w:szCs w:val="20"/>
              </w:rPr>
              <w:t>1 ks ruční radiostanic</w:t>
            </w:r>
            <w:r>
              <w:rPr>
                <w:rFonts w:cs="Arial"/>
                <w:sz w:val="20"/>
                <w:szCs w:val="20"/>
              </w:rPr>
              <w:t>e Matra, popis v příloze TS č. 3</w:t>
            </w:r>
            <w:r w:rsidRPr="003C603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3C603D" w:rsidRPr="00604BE6" w:rsidRDefault="003C603D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Pr="0036779B" w:rsidRDefault="0036779B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36779B">
              <w:rPr>
                <w:rFonts w:cs="Arial"/>
                <w:sz w:val="20"/>
                <w:szCs w:val="20"/>
              </w:rPr>
              <w:t>Držák</w:t>
            </w:r>
            <w:r>
              <w:rPr>
                <w:rFonts w:cs="Arial"/>
                <w:sz w:val="20"/>
                <w:szCs w:val="20"/>
              </w:rPr>
              <w:t>y</w:t>
            </w:r>
            <w:r w:rsidRPr="0036779B">
              <w:rPr>
                <w:rFonts w:cs="Arial"/>
                <w:sz w:val="20"/>
                <w:szCs w:val="20"/>
              </w:rPr>
              <w:t xml:space="preserve"> pro koště a lopatu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Pr="0036779B" w:rsidRDefault="0036779B" w:rsidP="0036779B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držák sady</w:t>
            </w:r>
            <w:r w:rsidRPr="0036779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s </w:t>
            </w:r>
            <w:r w:rsidRPr="0036779B">
              <w:rPr>
                <w:rFonts w:cs="Arial"/>
                <w:sz w:val="20"/>
                <w:szCs w:val="20"/>
              </w:rPr>
              <w:t xml:space="preserve">ručním nářadím v zavazadlovém prostoru, </w:t>
            </w:r>
            <w:r>
              <w:rPr>
                <w:rFonts w:cs="Arial"/>
                <w:sz w:val="20"/>
                <w:szCs w:val="20"/>
              </w:rPr>
              <w:t>sadu</w:t>
            </w:r>
            <w:r w:rsidRPr="0036779B">
              <w:rPr>
                <w:rFonts w:cs="Arial"/>
                <w:sz w:val="20"/>
                <w:szCs w:val="20"/>
              </w:rPr>
              <w:t xml:space="preserve"> dodá zadavatel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36779B" w:rsidRPr="00604BE6" w:rsidTr="00604BE6">
        <w:tc>
          <w:tcPr>
            <w:tcW w:w="7088" w:type="dxa"/>
          </w:tcPr>
          <w:p w:rsidR="0036779B" w:rsidRDefault="0036779B" w:rsidP="0036779B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držák tašky s osobní výstrojí, tašku dodá zadavatel.</w:t>
            </w:r>
          </w:p>
        </w:tc>
        <w:tc>
          <w:tcPr>
            <w:tcW w:w="3226" w:type="dxa"/>
            <w:shd w:val="clear" w:color="auto" w:fill="FFFFCC"/>
          </w:tcPr>
          <w:p w:rsidR="0036779B" w:rsidRPr="00604BE6" w:rsidRDefault="0036779B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4A3A4C" w:rsidRPr="00604BE6" w:rsidTr="00604BE6">
        <w:tc>
          <w:tcPr>
            <w:tcW w:w="7088" w:type="dxa"/>
          </w:tcPr>
          <w:p w:rsidR="004A3A4C" w:rsidRPr="00604BE6" w:rsidRDefault="004A3A4C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4A3A4C">
              <w:rPr>
                <w:rFonts w:cs="Arial"/>
                <w:sz w:val="20"/>
                <w:szCs w:val="20"/>
              </w:rPr>
              <w:t>1 ks kamerový</w:t>
            </w:r>
            <w:r>
              <w:rPr>
                <w:rFonts w:cs="Arial"/>
                <w:sz w:val="20"/>
                <w:szCs w:val="20"/>
              </w:rPr>
              <w:t xml:space="preserve"> systém, popis v příloze TS č. 1.</w:t>
            </w:r>
          </w:p>
        </w:tc>
        <w:tc>
          <w:tcPr>
            <w:tcW w:w="3226" w:type="dxa"/>
            <w:shd w:val="clear" w:color="auto" w:fill="FFFFCC"/>
          </w:tcPr>
          <w:p w:rsidR="004A3A4C" w:rsidRPr="00604BE6" w:rsidRDefault="004A3A4C" w:rsidP="00604BE6">
            <w:pPr>
              <w:rPr>
                <w:sz w:val="20"/>
                <w:szCs w:val="20"/>
              </w:rPr>
            </w:pPr>
          </w:p>
        </w:tc>
      </w:tr>
      <w:tr w:rsidR="00726254" w:rsidRPr="00604BE6" w:rsidTr="00604BE6">
        <w:tc>
          <w:tcPr>
            <w:tcW w:w="7088" w:type="dxa"/>
          </w:tcPr>
          <w:p w:rsidR="00726254" w:rsidRPr="004A3A4C" w:rsidRDefault="00726254" w:rsidP="009E151C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726254">
              <w:rPr>
                <w:rFonts w:cs="Arial"/>
                <w:sz w:val="20"/>
                <w:szCs w:val="20"/>
              </w:rPr>
              <w:t xml:space="preserve">1 ks systém elektronické knihy jízd, popis v příloze TS č. </w:t>
            </w:r>
            <w:r w:rsidR="009E151C">
              <w:rPr>
                <w:rFonts w:cs="Arial"/>
                <w:sz w:val="20"/>
                <w:szCs w:val="20"/>
              </w:rPr>
              <w:t>2</w:t>
            </w:r>
            <w:r w:rsidRPr="0072625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726254" w:rsidRPr="00604BE6" w:rsidRDefault="00726254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520904" w:rsidP="00C57AF5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C57AF5">
              <w:rPr>
                <w:rFonts w:eastAsia="Calibri" w:cs="Arial"/>
                <w:sz w:val="20"/>
                <w:szCs w:val="20"/>
              </w:rPr>
              <w:t>Skrytá instalace sirény o minimálním výkonu 1</w:t>
            </w:r>
            <w:r w:rsidR="00C57AF5" w:rsidRPr="00C57AF5">
              <w:rPr>
                <w:rFonts w:eastAsia="Calibri" w:cs="Arial"/>
                <w:sz w:val="20"/>
                <w:szCs w:val="20"/>
              </w:rPr>
              <w:t>0</w:t>
            </w:r>
            <w:r w:rsidRPr="00C57AF5">
              <w:rPr>
                <w:rFonts w:eastAsia="Calibri" w:cs="Arial"/>
                <w:sz w:val="20"/>
                <w:szCs w:val="20"/>
              </w:rPr>
              <w:t>0W se čtyřmi tóny včetně Air Horn tónu. Air Horn tón lze spustit při jakékoliv funkci sirény spínačem v dosahu řidiče. Zapnutí sirény a přepínání tónů sirény pomocí spínače klaksonu vozidla. Vypnutí sirény dvojklikem spínače klaksonu. Sirénu lze spustit pouze při zapnuté majákové rampě. Přesné zapojení bude odsouhlaseno zadavatelem před zahájením výroby.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520904" w:rsidP="00C57AF5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520904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</w:t>
            </w:r>
            <w:r w:rsidR="00C57AF5">
              <w:rPr>
                <w:rFonts w:eastAsia="Calibri" w:cs="Arial"/>
                <w:sz w:val="20"/>
                <w:szCs w:val="20"/>
              </w:rPr>
              <w:t>0</w:t>
            </w:r>
            <w:r w:rsidRPr="00520904">
              <w:rPr>
                <w:rFonts w:eastAsia="Calibri" w:cs="Arial"/>
                <w:sz w:val="20"/>
                <w:szCs w:val="20"/>
              </w:rPr>
              <w:t>0W. Instalace musí být v přední části vozidla (před chladičem) tak, aby konstrukce vozidla netlumila zvuk sirény. Přesné umístění bude odsouhlaseno zadavatelem před zahájením výroby.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520904" w:rsidRPr="00604BE6" w:rsidTr="00604BE6">
        <w:tc>
          <w:tcPr>
            <w:tcW w:w="7088" w:type="dxa"/>
          </w:tcPr>
          <w:p w:rsidR="00520904" w:rsidRPr="00520904" w:rsidRDefault="00520904" w:rsidP="00980AB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lastRenderedPageBreak/>
              <w:t xml:space="preserve">LED </w:t>
            </w:r>
            <w:r w:rsidRPr="00520904">
              <w:rPr>
                <w:rFonts w:eastAsia="Calibri" w:cs="Arial"/>
                <w:sz w:val="20"/>
                <w:szCs w:val="20"/>
              </w:rPr>
              <w:t xml:space="preserve">magnetický odnímatelný maják modré barvy </w:t>
            </w:r>
            <w:r>
              <w:rPr>
                <w:rFonts w:eastAsia="Calibri" w:cs="Arial"/>
                <w:sz w:val="20"/>
                <w:szCs w:val="20"/>
              </w:rPr>
              <w:t>dvoj</w:t>
            </w:r>
            <w:r w:rsidRPr="00520904">
              <w:rPr>
                <w:rFonts w:eastAsia="Calibri" w:cs="Arial"/>
                <w:sz w:val="20"/>
                <w:szCs w:val="20"/>
              </w:rPr>
              <w:t>řadý s min. třiceti světelnými body. Zapojení majáku do rohové zásuvky</w:t>
            </w:r>
            <w:r w:rsidR="00980AB6">
              <w:rPr>
                <w:rFonts w:eastAsia="Calibri" w:cs="Arial"/>
                <w:sz w:val="20"/>
                <w:szCs w:val="20"/>
              </w:rPr>
              <w:t xml:space="preserve"> 12V</w:t>
            </w:r>
            <w:r w:rsidRPr="00520904">
              <w:rPr>
                <w:rFonts w:eastAsia="Calibri" w:cs="Arial"/>
                <w:sz w:val="20"/>
                <w:szCs w:val="20"/>
              </w:rPr>
              <w:t xml:space="preserve"> umístěné na levém B sloupku zevnitř. Tato zásuvka ovládána spínačem výstražných světel v dosahu řidiče. Propojení majáku se zásuvkou kroucenou šňůrou umožňující přivření do rámu dveří. Přesné umístění komponentů určí zad</w:t>
            </w:r>
            <w:r>
              <w:rPr>
                <w:rFonts w:eastAsia="Calibri" w:cs="Arial"/>
                <w:sz w:val="20"/>
                <w:szCs w:val="20"/>
              </w:rPr>
              <w:t>avatel.</w:t>
            </w:r>
          </w:p>
        </w:tc>
        <w:tc>
          <w:tcPr>
            <w:tcW w:w="3226" w:type="dxa"/>
            <w:shd w:val="clear" w:color="auto" w:fill="FFFFCC"/>
          </w:tcPr>
          <w:p w:rsidR="00520904" w:rsidRPr="00604BE6" w:rsidRDefault="00520904" w:rsidP="00604BE6">
            <w:pPr>
              <w:rPr>
                <w:sz w:val="20"/>
              </w:rPr>
            </w:pPr>
          </w:p>
        </w:tc>
      </w:tr>
      <w:tr w:rsidR="00520904" w:rsidRPr="00604BE6" w:rsidTr="00604BE6">
        <w:tc>
          <w:tcPr>
            <w:tcW w:w="7088" w:type="dxa"/>
          </w:tcPr>
          <w:p w:rsidR="00520904" w:rsidRDefault="00520904" w:rsidP="00520904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520904">
              <w:rPr>
                <w:rFonts w:eastAsia="Calibri" w:cs="Arial"/>
                <w:sz w:val="20"/>
                <w:szCs w:val="20"/>
              </w:rPr>
              <w:t>Přídavný pár zvláštních výstražných světel modré/červené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6" w:type="dxa"/>
            <w:shd w:val="clear" w:color="auto" w:fill="FFFFCC"/>
          </w:tcPr>
          <w:p w:rsidR="00520904" w:rsidRPr="00604BE6" w:rsidRDefault="00520904" w:rsidP="00604BE6">
            <w:pPr>
              <w:rPr>
                <w:sz w:val="20"/>
              </w:rPr>
            </w:pPr>
          </w:p>
        </w:tc>
      </w:tr>
      <w:tr w:rsidR="00520904" w:rsidRPr="00604BE6" w:rsidTr="00604BE6">
        <w:tc>
          <w:tcPr>
            <w:tcW w:w="7088" w:type="dxa"/>
          </w:tcPr>
          <w:p w:rsidR="00520904" w:rsidRPr="00520904" w:rsidRDefault="00520904" w:rsidP="00520904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520904">
              <w:rPr>
                <w:rFonts w:eastAsia="Calibri" w:cs="Arial"/>
                <w:sz w:val="20"/>
                <w:szCs w:val="20"/>
              </w:rPr>
              <w:t>Přídavný pár zvláštních výstražných světel oranžové barvy v LED provedení instalován na hraně rámu pátých dveří, vyzařující světlo dozadu s minimálně 6 světelnými body v jednom světle.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6" w:type="dxa"/>
            <w:shd w:val="clear" w:color="auto" w:fill="FFFFCC"/>
          </w:tcPr>
          <w:p w:rsidR="00520904" w:rsidRPr="00604BE6" w:rsidRDefault="00520904" w:rsidP="00604BE6">
            <w:pPr>
              <w:rPr>
                <w:sz w:val="20"/>
              </w:rPr>
            </w:pPr>
          </w:p>
        </w:tc>
      </w:tr>
      <w:tr w:rsidR="00EF7CCE" w:rsidRPr="00604BE6" w:rsidTr="00604BE6">
        <w:tc>
          <w:tcPr>
            <w:tcW w:w="7088" w:type="dxa"/>
          </w:tcPr>
          <w:p w:rsidR="00EF7CCE" w:rsidRPr="00520904" w:rsidRDefault="00EF7CCE" w:rsidP="00980AB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EF7CCE">
              <w:rPr>
                <w:rFonts w:eastAsia="Calibri" w:cs="Arial"/>
                <w:sz w:val="20"/>
                <w:szCs w:val="20"/>
              </w:rPr>
              <w:t>Přídavné LED modré/červené světlo s min 8 světelnými body připevněno na čelním skle zevnitř pomocí přísavek, umístění nad přístrojovou deskou. Světlo musí být schváleného typu, s</w:t>
            </w:r>
            <w:r w:rsidR="00980AB6">
              <w:rPr>
                <w:rFonts w:eastAsia="Calibri" w:cs="Arial"/>
                <w:sz w:val="20"/>
                <w:szCs w:val="20"/>
              </w:rPr>
              <w:t> možností samostatného odpojení</w:t>
            </w:r>
            <w:r w:rsidRPr="00EF7CCE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EF7CCE" w:rsidRPr="00604BE6" w:rsidRDefault="00EF7CCE" w:rsidP="00604BE6">
            <w:pPr>
              <w:rPr>
                <w:sz w:val="20"/>
              </w:rPr>
            </w:pPr>
          </w:p>
        </w:tc>
      </w:tr>
      <w:tr w:rsidR="00980AB6" w:rsidRPr="00604BE6" w:rsidTr="00604BE6">
        <w:tc>
          <w:tcPr>
            <w:tcW w:w="7088" w:type="dxa"/>
          </w:tcPr>
          <w:p w:rsidR="00980AB6" w:rsidRPr="00EF7CCE" w:rsidRDefault="00545A49" w:rsidP="00B265AC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545A49">
              <w:rPr>
                <w:rFonts w:eastAsia="Calibri" w:cs="Arial"/>
                <w:sz w:val="20"/>
                <w:szCs w:val="20"/>
              </w:rPr>
              <w:t xml:space="preserve">1 ks přenosné magnetické světelné aleje na krytu zavazadlového prostoru (plato) včetně dodání </w:t>
            </w:r>
            <w:r w:rsidR="00B265AC">
              <w:rPr>
                <w:rFonts w:eastAsia="Calibri" w:cs="Arial"/>
                <w:sz w:val="20"/>
                <w:szCs w:val="20"/>
              </w:rPr>
              <w:t>konektoru pro</w:t>
            </w:r>
            <w:r w:rsidRPr="00545A49">
              <w:rPr>
                <w:rFonts w:eastAsia="Calibri" w:cs="Arial"/>
                <w:sz w:val="20"/>
                <w:szCs w:val="20"/>
              </w:rPr>
              <w:t xml:space="preserve"> napojen</w:t>
            </w:r>
            <w:r w:rsidR="00B265AC">
              <w:rPr>
                <w:rFonts w:eastAsia="Calibri" w:cs="Arial"/>
                <w:sz w:val="20"/>
                <w:szCs w:val="20"/>
              </w:rPr>
              <w:t>í</w:t>
            </w:r>
            <w:bookmarkStart w:id="0" w:name="_GoBack"/>
            <w:bookmarkEnd w:id="0"/>
            <w:r w:rsidRPr="00545A49">
              <w:rPr>
                <w:rFonts w:eastAsia="Calibri" w:cs="Arial"/>
                <w:sz w:val="20"/>
                <w:szCs w:val="20"/>
              </w:rPr>
              <w:t xml:space="preserve"> na základní spínač výstražných světel. Světelná alej s min. osmi LED moduly. Montáž spínače pro volbu zobrazovaného směru. Krajní LED moduly červený a modrý, ostatní LED moduly oranžové. Přesné umístění odsouhlasí zadavatel.</w:t>
            </w:r>
          </w:p>
        </w:tc>
        <w:tc>
          <w:tcPr>
            <w:tcW w:w="3226" w:type="dxa"/>
            <w:shd w:val="clear" w:color="auto" w:fill="FFFFCC"/>
          </w:tcPr>
          <w:p w:rsidR="00980AB6" w:rsidRPr="00604BE6" w:rsidRDefault="00980AB6" w:rsidP="00604BE6">
            <w:pPr>
              <w:rPr>
                <w:sz w:val="20"/>
              </w:rPr>
            </w:pPr>
          </w:p>
        </w:tc>
      </w:tr>
      <w:tr w:rsidR="00EF7CCE" w:rsidRPr="00604BE6" w:rsidTr="00604BE6">
        <w:tc>
          <w:tcPr>
            <w:tcW w:w="7088" w:type="dxa"/>
          </w:tcPr>
          <w:p w:rsidR="00EF7CCE" w:rsidRPr="00EF7CCE" w:rsidRDefault="00EF7CCE" w:rsidP="00520904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EF7CCE">
              <w:rPr>
                <w:rFonts w:eastAsia="Calibri" w:cs="Arial"/>
                <w:sz w:val="20"/>
                <w:szCs w:val="20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6" w:type="dxa"/>
            <w:shd w:val="clear" w:color="auto" w:fill="FFFFCC"/>
          </w:tcPr>
          <w:p w:rsidR="00EF7CCE" w:rsidRPr="00604BE6" w:rsidRDefault="00EF7CCE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C57AF5" w:rsidRPr="00604BE6" w:rsidTr="00604BE6">
        <w:tc>
          <w:tcPr>
            <w:tcW w:w="7088" w:type="dxa"/>
          </w:tcPr>
          <w:p w:rsidR="00C57AF5" w:rsidRPr="00604BE6" w:rsidRDefault="00C57AF5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C57AF5">
              <w:rPr>
                <w:rFonts w:eastAsia="Calibri" w:cs="Arial"/>
                <w:sz w:val="20"/>
                <w:szCs w:val="20"/>
              </w:rPr>
              <w:t>Osvětlení zavazadlového prostoru led páskem studené bílé barvy na obou bocích dle možností konstrukce vozidla. Sepnutí a vypnutí světla otevřením a zavřením pátých dveří, možnost vypnutí světla při otevřených dveřích samostatným vypínačem umístěným na boku zavazadlového prostoru. Světlo nesmí být závislé na časovém spínači osvětlení zavazadlového prostoru. Přesné umístění určí zadavatel.</w:t>
            </w:r>
          </w:p>
        </w:tc>
        <w:tc>
          <w:tcPr>
            <w:tcW w:w="3226" w:type="dxa"/>
            <w:shd w:val="clear" w:color="auto" w:fill="FFFFCC"/>
          </w:tcPr>
          <w:p w:rsidR="00C57AF5" w:rsidRPr="00604BE6" w:rsidRDefault="00C57AF5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0BF" w:rsidRDefault="003330BF" w:rsidP="004F7929">
      <w:pPr>
        <w:spacing w:after="0" w:line="240" w:lineRule="auto"/>
      </w:pPr>
      <w:r>
        <w:separator/>
      </w:r>
    </w:p>
  </w:endnote>
  <w:endnote w:type="continuationSeparator" w:id="0">
    <w:p w:rsidR="003330BF" w:rsidRDefault="003330BF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265AC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0BF" w:rsidRDefault="003330BF" w:rsidP="004F7929">
      <w:pPr>
        <w:spacing w:after="0" w:line="240" w:lineRule="auto"/>
      </w:pPr>
      <w:r>
        <w:separator/>
      </w:r>
    </w:p>
  </w:footnote>
  <w:footnote w:type="continuationSeparator" w:id="0">
    <w:p w:rsidR="003330BF" w:rsidRDefault="003330BF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573E9A">
      <w:t>technické vozidlo</w:t>
    </w:r>
    <w:r w:rsidR="00D5535C">
      <w:t xml:space="preserve">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20C36"/>
    <w:rsid w:val="0004316B"/>
    <w:rsid w:val="00065773"/>
    <w:rsid w:val="00070FE2"/>
    <w:rsid w:val="00073573"/>
    <w:rsid w:val="00086D35"/>
    <w:rsid w:val="000A21D4"/>
    <w:rsid w:val="000B136A"/>
    <w:rsid w:val="000B5877"/>
    <w:rsid w:val="000C1EFE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66C68"/>
    <w:rsid w:val="00180307"/>
    <w:rsid w:val="0019551C"/>
    <w:rsid w:val="001A517A"/>
    <w:rsid w:val="001B177A"/>
    <w:rsid w:val="001B21A2"/>
    <w:rsid w:val="001B592F"/>
    <w:rsid w:val="001C7120"/>
    <w:rsid w:val="00210B1F"/>
    <w:rsid w:val="0022162C"/>
    <w:rsid w:val="00222A4D"/>
    <w:rsid w:val="00235B04"/>
    <w:rsid w:val="00247FB3"/>
    <w:rsid w:val="002519E5"/>
    <w:rsid w:val="00252682"/>
    <w:rsid w:val="00283BD2"/>
    <w:rsid w:val="00294CF4"/>
    <w:rsid w:val="00296205"/>
    <w:rsid w:val="002A3360"/>
    <w:rsid w:val="002B7243"/>
    <w:rsid w:val="002C1971"/>
    <w:rsid w:val="002D439E"/>
    <w:rsid w:val="002D46E3"/>
    <w:rsid w:val="002E13FB"/>
    <w:rsid w:val="002E31D9"/>
    <w:rsid w:val="002E5DC3"/>
    <w:rsid w:val="00301441"/>
    <w:rsid w:val="003330BF"/>
    <w:rsid w:val="003358C2"/>
    <w:rsid w:val="00336E18"/>
    <w:rsid w:val="0034193E"/>
    <w:rsid w:val="0036779B"/>
    <w:rsid w:val="0037518A"/>
    <w:rsid w:val="003819CF"/>
    <w:rsid w:val="00382E54"/>
    <w:rsid w:val="00383B83"/>
    <w:rsid w:val="003979EB"/>
    <w:rsid w:val="00397C81"/>
    <w:rsid w:val="003A675A"/>
    <w:rsid w:val="003B24C2"/>
    <w:rsid w:val="003B686D"/>
    <w:rsid w:val="003C603D"/>
    <w:rsid w:val="003E40C1"/>
    <w:rsid w:val="003E70A6"/>
    <w:rsid w:val="004021D6"/>
    <w:rsid w:val="004074F6"/>
    <w:rsid w:val="004111A5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A3A4C"/>
    <w:rsid w:val="004B0309"/>
    <w:rsid w:val="004B527B"/>
    <w:rsid w:val="004B52A9"/>
    <w:rsid w:val="004E646F"/>
    <w:rsid w:val="004F103D"/>
    <w:rsid w:val="004F7929"/>
    <w:rsid w:val="005163BC"/>
    <w:rsid w:val="005178E8"/>
    <w:rsid w:val="00520904"/>
    <w:rsid w:val="005328AB"/>
    <w:rsid w:val="00533CCB"/>
    <w:rsid w:val="005374FB"/>
    <w:rsid w:val="00540548"/>
    <w:rsid w:val="00545A49"/>
    <w:rsid w:val="0055707C"/>
    <w:rsid w:val="0056477B"/>
    <w:rsid w:val="00573E9A"/>
    <w:rsid w:val="0059568B"/>
    <w:rsid w:val="005A4C9B"/>
    <w:rsid w:val="005A5D6C"/>
    <w:rsid w:val="005B40C4"/>
    <w:rsid w:val="005C4431"/>
    <w:rsid w:val="005E4426"/>
    <w:rsid w:val="006007B8"/>
    <w:rsid w:val="00604BE6"/>
    <w:rsid w:val="00612759"/>
    <w:rsid w:val="00613D28"/>
    <w:rsid w:val="00644297"/>
    <w:rsid w:val="00652D2E"/>
    <w:rsid w:val="006541D7"/>
    <w:rsid w:val="006660A4"/>
    <w:rsid w:val="00667758"/>
    <w:rsid w:val="00681F6F"/>
    <w:rsid w:val="006839F1"/>
    <w:rsid w:val="00687931"/>
    <w:rsid w:val="006A07D5"/>
    <w:rsid w:val="00702667"/>
    <w:rsid w:val="00726254"/>
    <w:rsid w:val="00726B7D"/>
    <w:rsid w:val="00734F37"/>
    <w:rsid w:val="007642D0"/>
    <w:rsid w:val="00765E22"/>
    <w:rsid w:val="00782BC8"/>
    <w:rsid w:val="0078666B"/>
    <w:rsid w:val="00786E81"/>
    <w:rsid w:val="007C1D97"/>
    <w:rsid w:val="007D2181"/>
    <w:rsid w:val="007D39A1"/>
    <w:rsid w:val="007E3808"/>
    <w:rsid w:val="007E46E0"/>
    <w:rsid w:val="008174EB"/>
    <w:rsid w:val="00840941"/>
    <w:rsid w:val="00843776"/>
    <w:rsid w:val="00846779"/>
    <w:rsid w:val="00857757"/>
    <w:rsid w:val="008613ED"/>
    <w:rsid w:val="00862040"/>
    <w:rsid w:val="00882EF0"/>
    <w:rsid w:val="0089055D"/>
    <w:rsid w:val="0089154E"/>
    <w:rsid w:val="00893110"/>
    <w:rsid w:val="00894711"/>
    <w:rsid w:val="008A52B2"/>
    <w:rsid w:val="008D2735"/>
    <w:rsid w:val="008D30EA"/>
    <w:rsid w:val="008D3403"/>
    <w:rsid w:val="008F1310"/>
    <w:rsid w:val="009047F3"/>
    <w:rsid w:val="00911D84"/>
    <w:rsid w:val="00914438"/>
    <w:rsid w:val="00916D8F"/>
    <w:rsid w:val="00916F36"/>
    <w:rsid w:val="0091746C"/>
    <w:rsid w:val="00936078"/>
    <w:rsid w:val="009568BA"/>
    <w:rsid w:val="00964DCF"/>
    <w:rsid w:val="00980AB6"/>
    <w:rsid w:val="009A2521"/>
    <w:rsid w:val="009B1112"/>
    <w:rsid w:val="009D0F2F"/>
    <w:rsid w:val="009D44AB"/>
    <w:rsid w:val="009D6193"/>
    <w:rsid w:val="009E151C"/>
    <w:rsid w:val="009E2941"/>
    <w:rsid w:val="009F0BDB"/>
    <w:rsid w:val="00A1438E"/>
    <w:rsid w:val="00A17E0C"/>
    <w:rsid w:val="00A43F5C"/>
    <w:rsid w:val="00A46835"/>
    <w:rsid w:val="00A507AF"/>
    <w:rsid w:val="00A56816"/>
    <w:rsid w:val="00A919C5"/>
    <w:rsid w:val="00A93F9B"/>
    <w:rsid w:val="00A955A5"/>
    <w:rsid w:val="00AA029F"/>
    <w:rsid w:val="00AC6E7F"/>
    <w:rsid w:val="00AE4CA7"/>
    <w:rsid w:val="00AE70D3"/>
    <w:rsid w:val="00AF3E19"/>
    <w:rsid w:val="00B162BD"/>
    <w:rsid w:val="00B265AC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E3128"/>
    <w:rsid w:val="00BF244F"/>
    <w:rsid w:val="00BF706E"/>
    <w:rsid w:val="00C10F75"/>
    <w:rsid w:val="00C26B43"/>
    <w:rsid w:val="00C3543C"/>
    <w:rsid w:val="00C472C9"/>
    <w:rsid w:val="00C55CCA"/>
    <w:rsid w:val="00C56777"/>
    <w:rsid w:val="00C57164"/>
    <w:rsid w:val="00C57AF5"/>
    <w:rsid w:val="00C64ABC"/>
    <w:rsid w:val="00C9362E"/>
    <w:rsid w:val="00CA25EC"/>
    <w:rsid w:val="00CA3200"/>
    <w:rsid w:val="00CC23CB"/>
    <w:rsid w:val="00CC3938"/>
    <w:rsid w:val="00CD04BB"/>
    <w:rsid w:val="00D025E4"/>
    <w:rsid w:val="00D14652"/>
    <w:rsid w:val="00D16AD6"/>
    <w:rsid w:val="00D27CE6"/>
    <w:rsid w:val="00D31394"/>
    <w:rsid w:val="00D42925"/>
    <w:rsid w:val="00D52868"/>
    <w:rsid w:val="00D5535C"/>
    <w:rsid w:val="00D61F09"/>
    <w:rsid w:val="00D62C4E"/>
    <w:rsid w:val="00D66B4A"/>
    <w:rsid w:val="00D807BE"/>
    <w:rsid w:val="00DA6568"/>
    <w:rsid w:val="00DB4535"/>
    <w:rsid w:val="00DB5890"/>
    <w:rsid w:val="00DD632B"/>
    <w:rsid w:val="00E01A99"/>
    <w:rsid w:val="00E05E77"/>
    <w:rsid w:val="00E1278B"/>
    <w:rsid w:val="00E1598E"/>
    <w:rsid w:val="00E20021"/>
    <w:rsid w:val="00E25D08"/>
    <w:rsid w:val="00E369D3"/>
    <w:rsid w:val="00E36ABD"/>
    <w:rsid w:val="00E604C2"/>
    <w:rsid w:val="00E61FE3"/>
    <w:rsid w:val="00E81170"/>
    <w:rsid w:val="00E81EF9"/>
    <w:rsid w:val="00E90260"/>
    <w:rsid w:val="00EA0FAC"/>
    <w:rsid w:val="00EA7B61"/>
    <w:rsid w:val="00EB20AF"/>
    <w:rsid w:val="00EB6BD3"/>
    <w:rsid w:val="00EC0BD8"/>
    <w:rsid w:val="00EE6597"/>
    <w:rsid w:val="00EF04D4"/>
    <w:rsid w:val="00EF3B1B"/>
    <w:rsid w:val="00EF5983"/>
    <w:rsid w:val="00EF7CCE"/>
    <w:rsid w:val="00F0400B"/>
    <w:rsid w:val="00F109EC"/>
    <w:rsid w:val="00F22426"/>
    <w:rsid w:val="00F43563"/>
    <w:rsid w:val="00F45945"/>
    <w:rsid w:val="00F52E06"/>
    <w:rsid w:val="00F73134"/>
    <w:rsid w:val="00F73EC0"/>
    <w:rsid w:val="00F91A84"/>
    <w:rsid w:val="00FA3B58"/>
    <w:rsid w:val="00FE0928"/>
    <w:rsid w:val="00FF0B5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38481-FF11-4AAF-AEE2-75386AE3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1678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15</cp:revision>
  <cp:lastPrinted>2023-10-26T13:07:00Z</cp:lastPrinted>
  <dcterms:created xsi:type="dcterms:W3CDTF">2023-10-26T11:54:00Z</dcterms:created>
  <dcterms:modified xsi:type="dcterms:W3CDTF">2024-02-01T09:47:00Z</dcterms:modified>
</cp:coreProperties>
</file>